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3" w:rsidRDefault="00805EF3" w:rsidP="00805EF3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805EF3">
        <w:rPr>
          <w:rFonts w:ascii="Times New Roman" w:hAnsi="Times New Roman" w:cs="Times New Roman"/>
          <w:sz w:val="36"/>
          <w:szCs w:val="36"/>
        </w:rPr>
        <w:t>Diana Rogers Dynamic Watercolor</w:t>
      </w:r>
    </w:p>
    <w:p w:rsidR="0060724C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Watercolors (Minimum 12 counts)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color Paper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28”x34” Watercolor Sheet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Watercolor or Mixed media pad 11x14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Watercolor Brushes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container (Bowl or Cup)</w:t>
      </w:r>
    </w:p>
    <w:p w:rsidR="00805EF3" w:rsidRDefault="00805EF3" w:rsidP="00805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 Palette or Plate (Styrofoam or ceramic)</w:t>
      </w:r>
    </w:p>
    <w:p w:rsidR="00805EF3" w:rsidRPr="00805EF3" w:rsidRDefault="00805EF3" w:rsidP="00805E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5EF3" w:rsidRPr="0080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3"/>
    <w:rsid w:val="0060724C"/>
    <w:rsid w:val="0080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2023-01-10T17:21:00Z</dcterms:created>
  <dcterms:modified xsi:type="dcterms:W3CDTF">2023-01-10T17:27:00Z</dcterms:modified>
</cp:coreProperties>
</file>